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50BDD0" w14:textId="54DED365" w:rsidR="00A94C33" w:rsidRDefault="00A94C33" w:rsidP="00A94C3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>Annex III</w:t>
      </w:r>
    </w:p>
    <w:p w14:paraId="598EC315" w14:textId="77777777" w:rsidR="00A94C33" w:rsidRDefault="00A94C33" w:rsidP="00A94C3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</w:p>
    <w:p w14:paraId="63C2C998" w14:textId="0F9C4591" w:rsidR="007432B3" w:rsidRPr="000C4AB2" w:rsidRDefault="007432B3" w:rsidP="007432B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  <w:r w:rsidRPr="000C4AB2"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>S.26.02</w:t>
      </w:r>
      <w:bookmarkStart w:id="0" w:name="_GoBack"/>
      <w:bookmarkEnd w:id="0"/>
      <w:r w:rsidR="00085291" w:rsidRPr="000C4AB2"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 xml:space="preserve"> -</w:t>
      </w:r>
      <w:r w:rsidRPr="000C4AB2"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 xml:space="preserve"> Solvency Capital Requirement – Counterparty default risk </w:t>
      </w:r>
    </w:p>
    <w:p w14:paraId="42BCB51E" w14:textId="77777777" w:rsidR="007432B3" w:rsidRPr="000C4AB2" w:rsidRDefault="007432B3" w:rsidP="007432B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</w:p>
    <w:p w14:paraId="5C7D2520" w14:textId="77777777" w:rsidR="007432B3" w:rsidRPr="000C4AB2" w:rsidRDefault="007432B3" w:rsidP="007432B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  <w:r w:rsidRPr="000C4AB2"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 xml:space="preserve">General comments </w:t>
      </w:r>
    </w:p>
    <w:p w14:paraId="480625AD" w14:textId="77777777" w:rsidR="007432B3" w:rsidRPr="000C4AB2" w:rsidRDefault="007432B3" w:rsidP="007432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es-ES"/>
        </w:rPr>
      </w:pPr>
    </w:p>
    <w:p w14:paraId="2EE02AA7" w14:textId="77777777" w:rsidR="007432B3" w:rsidRPr="000C4AB2" w:rsidRDefault="007432B3" w:rsidP="000C4AB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0C4AB2">
        <w:rPr>
          <w:rFonts w:ascii="Times New Roman" w:hAnsi="Times New Roman" w:cs="Times New Roman"/>
          <w:sz w:val="20"/>
          <w:szCs w:val="20"/>
          <w:lang w:val="en-GB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14:paraId="47219CC3" w14:textId="77777777" w:rsidR="007432B3" w:rsidRPr="000C4AB2" w:rsidRDefault="007432B3" w:rsidP="000C4AB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p w14:paraId="730993F4" w14:textId="29869622" w:rsidR="00085291" w:rsidRPr="000C4AB2" w:rsidRDefault="00085291" w:rsidP="00085291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0C4AB2">
        <w:rPr>
          <w:rFonts w:ascii="Times New Roman" w:hAnsi="Times New Roman" w:cs="Times New Roman"/>
          <w:sz w:val="20"/>
          <w:szCs w:val="20"/>
          <w:lang w:val="en-GB"/>
        </w:rPr>
        <w:t xml:space="preserve">This annex relates to annual submission of information for </w:t>
      </w:r>
      <w:r w:rsidR="00BE1410" w:rsidRPr="000C4AB2">
        <w:rPr>
          <w:rFonts w:ascii="Times New Roman" w:hAnsi="Times New Roman" w:cs="Times New Roman"/>
          <w:sz w:val="20"/>
          <w:szCs w:val="20"/>
          <w:lang w:val="en-GB"/>
        </w:rPr>
        <w:t>groups</w:t>
      </w:r>
      <w:r w:rsidRPr="000C4AB2">
        <w:rPr>
          <w:rFonts w:ascii="Times New Roman" w:hAnsi="Times New Roman" w:cs="Times New Roman"/>
          <w:sz w:val="20"/>
          <w:szCs w:val="20"/>
          <w:lang w:val="en-GB"/>
        </w:rPr>
        <w:t xml:space="preserve">, ring fenced-funds, matching </w:t>
      </w:r>
      <w:r w:rsidR="00C9258E" w:rsidRPr="000C4AB2">
        <w:rPr>
          <w:rFonts w:ascii="Times New Roman" w:hAnsi="Times New Roman" w:cs="Times New Roman"/>
          <w:sz w:val="20"/>
          <w:szCs w:val="20"/>
          <w:lang w:val="en-GB"/>
        </w:rPr>
        <w:t xml:space="preserve">adjustment </w:t>
      </w:r>
      <w:r w:rsidRPr="000C4AB2">
        <w:rPr>
          <w:rFonts w:ascii="Times New Roman" w:hAnsi="Times New Roman" w:cs="Times New Roman"/>
          <w:sz w:val="20"/>
          <w:szCs w:val="20"/>
          <w:lang w:val="en-GB"/>
        </w:rPr>
        <w:t>portfolios and remaining part.</w:t>
      </w:r>
    </w:p>
    <w:p w14:paraId="22E2E1F8" w14:textId="19C287AE" w:rsidR="00085291" w:rsidRDefault="00085291" w:rsidP="00085291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0C4AB2">
        <w:rPr>
          <w:rFonts w:ascii="Times New Roman" w:hAnsi="Times New Roman" w:cs="Times New Roman"/>
          <w:sz w:val="20"/>
          <w:szCs w:val="20"/>
          <w:lang w:val="en-GB"/>
        </w:rPr>
        <w:t>Te</w:t>
      </w:r>
      <w:r w:rsidR="00A94C33">
        <w:rPr>
          <w:rFonts w:ascii="Times New Roman" w:hAnsi="Times New Roman" w:cs="Times New Roman"/>
          <w:sz w:val="20"/>
          <w:szCs w:val="20"/>
          <w:lang w:val="en-GB"/>
        </w:rPr>
        <w:t>mplate</w:t>
      </w:r>
      <w:r w:rsidRPr="000C4AB2">
        <w:rPr>
          <w:rFonts w:ascii="Times New Roman" w:hAnsi="Times New Roman" w:cs="Times New Roman"/>
          <w:sz w:val="20"/>
          <w:szCs w:val="20"/>
          <w:lang w:val="en-GB"/>
        </w:rPr>
        <w:t xml:space="preserve"> S</w:t>
      </w:r>
      <w:r w:rsidR="005F7407">
        <w:rPr>
          <w:rFonts w:ascii="Times New Roman" w:hAnsi="Times New Roman" w:cs="Times New Roman"/>
          <w:sz w:val="20"/>
          <w:szCs w:val="20"/>
          <w:lang w:val="en-GB"/>
        </w:rPr>
        <w:t>R</w:t>
      </w:r>
      <w:r w:rsidRPr="000C4AB2">
        <w:rPr>
          <w:rFonts w:ascii="Times New Roman" w:hAnsi="Times New Roman" w:cs="Times New Roman"/>
          <w:sz w:val="20"/>
          <w:szCs w:val="20"/>
          <w:lang w:val="en-GB"/>
        </w:rPr>
        <w:t>.2</w:t>
      </w:r>
      <w:r w:rsidR="008F6A7C" w:rsidRPr="000C4AB2">
        <w:rPr>
          <w:rFonts w:ascii="Times New Roman" w:hAnsi="Times New Roman" w:cs="Times New Roman"/>
          <w:sz w:val="20"/>
          <w:szCs w:val="20"/>
          <w:lang w:val="en-GB"/>
        </w:rPr>
        <w:t>6</w:t>
      </w:r>
      <w:r w:rsidRPr="000C4AB2">
        <w:rPr>
          <w:rFonts w:ascii="Times New Roman" w:hAnsi="Times New Roman" w:cs="Times New Roman"/>
          <w:sz w:val="20"/>
          <w:szCs w:val="20"/>
          <w:lang w:val="en-GB"/>
        </w:rPr>
        <w:t>.0</w:t>
      </w:r>
      <w:r w:rsidR="008F6A7C" w:rsidRPr="000C4AB2">
        <w:rPr>
          <w:rFonts w:ascii="Times New Roman" w:hAnsi="Times New Roman" w:cs="Times New Roman"/>
          <w:sz w:val="20"/>
          <w:szCs w:val="20"/>
          <w:lang w:val="en-GB"/>
        </w:rPr>
        <w:t>2</w:t>
      </w:r>
      <w:r w:rsidRPr="000C4AB2">
        <w:rPr>
          <w:rFonts w:ascii="Times New Roman" w:hAnsi="Times New Roman" w:cs="Times New Roman"/>
          <w:sz w:val="20"/>
          <w:szCs w:val="20"/>
          <w:lang w:val="en-GB"/>
        </w:rPr>
        <w:t xml:space="preserve"> has to be filled in for each ring-fenced fund (RFF), each matching adjustment portfolio (MAP) and for the remaining part. However, where a RFF/MAP includes a MAP/RRF embedded, the fund should be treated as different funds. This template should be reported for all sub-funds of a material RFF/MAP as identified in the second table of S.01.03.</w:t>
      </w:r>
    </w:p>
    <w:p w14:paraId="38B892B9" w14:textId="258BEA9C" w:rsidR="002426E3" w:rsidRPr="005B20E8" w:rsidRDefault="002426E3" w:rsidP="002426E3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DB4927">
        <w:rPr>
          <w:rFonts w:ascii="Times New Roman" w:hAnsi="Times New Roman" w:cs="Times New Roman"/>
          <w:sz w:val="20"/>
          <w:szCs w:val="20"/>
          <w:lang w:val="en-GB"/>
        </w:rPr>
        <w:t xml:space="preserve">Template SR.26.02 is only applicable in relation to RFF/MAP from undertakings consolidated according to Article 335(1)(a), (b) and (c) of Delegated Regulation </w:t>
      </w:r>
      <w:r w:rsidR="00DB4927">
        <w:rPr>
          <w:rFonts w:ascii="Times New Roman" w:hAnsi="Times New Roman" w:cs="Times New Roman"/>
          <w:sz w:val="20"/>
          <w:szCs w:val="20"/>
          <w:lang w:val="en-GB"/>
        </w:rPr>
        <w:t xml:space="preserve">(EU) </w:t>
      </w:r>
      <w:r w:rsidRPr="00DB4927">
        <w:rPr>
          <w:rFonts w:ascii="Times New Roman" w:hAnsi="Times New Roman" w:cs="Times New Roman"/>
          <w:sz w:val="20"/>
          <w:szCs w:val="20"/>
          <w:lang w:val="en-GB"/>
        </w:rPr>
        <w:t>2015/35, when method 1 (Accounting consolidation-based method) is used, either exclusively or in combination with method 2 (Deduction and aggregation method).</w:t>
      </w:r>
    </w:p>
    <w:p w14:paraId="10F4167D" w14:textId="77777777" w:rsidR="00BE1410" w:rsidRPr="000C4AB2" w:rsidRDefault="00BE1410" w:rsidP="000C4AB2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0C4AB2">
        <w:rPr>
          <w:rFonts w:ascii="Times New Roman" w:hAnsi="Times New Roman" w:cs="Times New Roman"/>
          <w:sz w:val="20"/>
          <w:szCs w:val="20"/>
          <w:lang w:val="en-GB"/>
        </w:rPr>
        <w:t xml:space="preserve">For group reporting the following specific requirements shall be met: </w:t>
      </w:r>
    </w:p>
    <w:p w14:paraId="7F0F7546" w14:textId="262BF4F3" w:rsidR="00BE1410" w:rsidRPr="000C4AB2" w:rsidRDefault="00BE1410" w:rsidP="000C4AB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0C4AB2">
        <w:rPr>
          <w:rFonts w:ascii="Times New Roman" w:hAnsi="Times New Roman" w:cs="Times New Roman"/>
          <w:sz w:val="20"/>
          <w:szCs w:val="20"/>
          <w:lang w:val="en-GB"/>
        </w:rPr>
        <w:t xml:space="preserve">This information is applicable when method 1 as defined in Article 230 of  Solvency  II Directive  is  used,  either  exclusively  or  in  combination with method 2 as defined in Article 233 of </w:t>
      </w:r>
      <w:r w:rsidR="00BD0905">
        <w:rPr>
          <w:rFonts w:ascii="Times New Roman" w:eastAsia="Times New Roman" w:hAnsi="Times New Roman" w:cs="Times New Roman"/>
          <w:sz w:val="20"/>
          <w:szCs w:val="20"/>
          <w:lang w:val="en-GB" w:eastAsia="es-ES"/>
        </w:rPr>
        <w:t>Directive 2009/138/EC</w:t>
      </w:r>
      <w:r w:rsidRPr="000C4AB2">
        <w:rPr>
          <w:rFonts w:ascii="Times New Roman" w:hAnsi="Times New Roman" w:cs="Times New Roman"/>
          <w:sz w:val="20"/>
          <w:szCs w:val="20"/>
          <w:lang w:val="en-GB"/>
        </w:rPr>
        <w:t xml:space="preserve">; </w:t>
      </w:r>
    </w:p>
    <w:p w14:paraId="0F1303A8" w14:textId="06AE425B" w:rsidR="00BE1410" w:rsidRPr="000C4AB2" w:rsidRDefault="00BE1410" w:rsidP="000C4AB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0C4AB2">
        <w:rPr>
          <w:rFonts w:ascii="Times New Roman" w:hAnsi="Times New Roman" w:cs="Times New Roman"/>
          <w:sz w:val="20"/>
          <w:szCs w:val="20"/>
          <w:lang w:val="en-GB"/>
        </w:rPr>
        <w:t xml:space="preserve">When  combination  method  is  being  used,  this  information  is  to  be submitted  only  for  the  part  of  the  group  calculated  with  method  1  as defined in Article 230 of </w:t>
      </w:r>
      <w:r w:rsidR="00BD0905">
        <w:rPr>
          <w:rFonts w:ascii="Times New Roman" w:eastAsia="Times New Roman" w:hAnsi="Times New Roman" w:cs="Times New Roman"/>
          <w:sz w:val="20"/>
          <w:szCs w:val="20"/>
          <w:lang w:val="en-GB" w:eastAsia="es-ES"/>
        </w:rPr>
        <w:t>Directive 2009/138/EC</w:t>
      </w:r>
      <w:r w:rsidRPr="000C4AB2">
        <w:rPr>
          <w:rFonts w:ascii="Times New Roman" w:hAnsi="Times New Roman" w:cs="Times New Roman"/>
          <w:sz w:val="20"/>
          <w:szCs w:val="20"/>
          <w:lang w:val="en-GB"/>
        </w:rPr>
        <w:t xml:space="preserve">, and; </w:t>
      </w:r>
    </w:p>
    <w:p w14:paraId="677FF602" w14:textId="1FB91436" w:rsidR="00BE1410" w:rsidRPr="000C4AB2" w:rsidRDefault="00BE1410" w:rsidP="000C4AB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0C4AB2">
        <w:rPr>
          <w:rFonts w:ascii="Times New Roman" w:hAnsi="Times New Roman" w:cs="Times New Roman"/>
          <w:sz w:val="20"/>
          <w:szCs w:val="20"/>
          <w:lang w:val="en-GB"/>
        </w:rPr>
        <w:t xml:space="preserve">This information does not apply to groups when method 2 as defined in Article 233 of </w:t>
      </w:r>
      <w:r w:rsidR="00BD0905">
        <w:rPr>
          <w:rFonts w:ascii="Times New Roman" w:eastAsia="Times New Roman" w:hAnsi="Times New Roman" w:cs="Times New Roman"/>
          <w:sz w:val="20"/>
          <w:szCs w:val="20"/>
          <w:lang w:val="en-GB" w:eastAsia="es-ES"/>
        </w:rPr>
        <w:t>Directive 2009/138/EC</w:t>
      </w:r>
      <w:r w:rsidRPr="000C4AB2">
        <w:rPr>
          <w:rFonts w:ascii="Times New Roman" w:hAnsi="Times New Roman" w:cs="Times New Roman"/>
          <w:sz w:val="20"/>
          <w:szCs w:val="20"/>
          <w:lang w:val="en-GB"/>
        </w:rPr>
        <w:t xml:space="preserve"> is being used exclusively.</w:t>
      </w:r>
    </w:p>
    <w:tbl>
      <w:tblPr>
        <w:tblW w:w="8632" w:type="dxa"/>
        <w:tblInd w:w="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2"/>
        <w:gridCol w:w="2318"/>
        <w:gridCol w:w="33"/>
        <w:gridCol w:w="4739"/>
      </w:tblGrid>
      <w:tr w:rsidR="00DB4927" w:rsidRPr="000C4AB2" w:rsidDel="007060B1" w14:paraId="2AF7D8A7" w14:textId="77777777" w:rsidTr="00DB4927">
        <w:trPr>
          <w:trHeight w:val="318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110E6" w14:textId="77777777" w:rsidR="0039634C" w:rsidRPr="000C4AB2" w:rsidDel="0040427E" w:rsidRDefault="0039634C" w:rsidP="000C4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1F3D7" w14:textId="73E95E87" w:rsidR="0039634C" w:rsidRPr="000C4AB2" w:rsidDel="007060B1" w:rsidRDefault="0039634C" w:rsidP="000C4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ITEM</w:t>
            </w:r>
          </w:p>
        </w:tc>
        <w:tc>
          <w:tcPr>
            <w:tcW w:w="4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43FFF" w14:textId="022D1BA7" w:rsidR="0039634C" w:rsidRPr="000C4AB2" w:rsidDel="007060B1" w:rsidRDefault="0039634C" w:rsidP="000C4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INSTRUCTIONS</w:t>
            </w:r>
          </w:p>
        </w:tc>
      </w:tr>
      <w:tr w:rsidR="00DB4927" w:rsidRPr="000C4AB2" w14:paraId="46AB41CA" w14:textId="77777777" w:rsidTr="00DB4927">
        <w:trPr>
          <w:trHeight w:val="1534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330CA0" w14:textId="4702E0F0" w:rsidR="00085291" w:rsidRPr="000C4AB2" w:rsidDel="0040427E" w:rsidRDefault="000C18F7" w:rsidP="00DB4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Z0010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780E66" w14:textId="2E80272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Article 112</w:t>
            </w:r>
          </w:p>
        </w:tc>
        <w:tc>
          <w:tcPr>
            <w:tcW w:w="4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ACDD55" w14:textId="39713AF0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Identifies whether the reported figures have been requested under Article 112</w:t>
            </w:r>
            <w:r w:rsid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(7), to provide an estimate of the SCR using standard formula.</w:t>
            </w:r>
            <w:r w:rsidR="00085291"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One of the options in the following closed list shall be used:</w:t>
            </w:r>
          </w:p>
          <w:p w14:paraId="4A8B70AE" w14:textId="47EED7CA" w:rsidR="00085291" w:rsidRPr="000C4AB2" w:rsidRDefault="00085291" w:rsidP="0008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 – Article 112</w:t>
            </w:r>
            <w:r w:rsid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(7) reporting</w:t>
            </w:r>
          </w:p>
          <w:p w14:paraId="46CD2257" w14:textId="101870E9" w:rsidR="000C18F7" w:rsidRPr="000C4AB2" w:rsidRDefault="00085291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 – Regular reporting</w:t>
            </w:r>
          </w:p>
        </w:tc>
      </w:tr>
      <w:tr w:rsidR="00DB4927" w:rsidRPr="000C4AB2" w14:paraId="30120BA4" w14:textId="77777777" w:rsidTr="00DB4927">
        <w:trPr>
          <w:trHeight w:val="1292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C15905" w14:textId="1799F649" w:rsidR="00085291" w:rsidRPr="000C4AB2" w:rsidRDefault="00085291" w:rsidP="00DB4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Z0020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81097A" w14:textId="5CD217A0" w:rsidR="00085291" w:rsidRPr="000C4AB2" w:rsidRDefault="00085291" w:rsidP="004C5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Ring Fenced Fund/Matching adjustment portfolios/Remaining part </w:t>
            </w:r>
          </w:p>
        </w:tc>
        <w:tc>
          <w:tcPr>
            <w:tcW w:w="4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558668" w14:textId="0889FCAE" w:rsidR="00085291" w:rsidRPr="000C4AB2" w:rsidRDefault="00085291" w:rsidP="00DB4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Identifies whether the reported figures are with regard to a RFF, matching </w:t>
            </w:r>
            <w:r w:rsidR="00C9258E"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adjustment </w:t>
            </w: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portfolio or to the remaining part. One of the options in the following closed list shall be used:</w:t>
            </w: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</w:r>
            <w:r w:rsidR="00C9258E"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 – RFF/MAP</w:t>
            </w:r>
            <w:r w:rsidR="00C9258E" w:rsidRPr="000C4AB2" w:rsidDel="00C11F0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C9258E"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  <w:t>2 – Remaining part</w:t>
            </w:r>
          </w:p>
        </w:tc>
      </w:tr>
      <w:tr w:rsidR="00DB4927" w:rsidRPr="000C4AB2" w14:paraId="7F009D65" w14:textId="77777777" w:rsidTr="00DB4927">
        <w:trPr>
          <w:trHeight w:val="1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73EC94" w14:textId="248C83BA" w:rsidR="00085291" w:rsidRPr="000C4AB2" w:rsidRDefault="00085291" w:rsidP="00DB4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Z0030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47BC31" w14:textId="3D6A168C" w:rsidR="00085291" w:rsidRPr="000C4AB2" w:rsidRDefault="00085291" w:rsidP="004C5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Fund/Portfolio number</w:t>
            </w:r>
          </w:p>
        </w:tc>
        <w:tc>
          <w:tcPr>
            <w:tcW w:w="4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1BC83B" w14:textId="57196439" w:rsidR="00085291" w:rsidRPr="000C4AB2" w:rsidRDefault="00A94C33" w:rsidP="001C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W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hen item Z0020 =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, i</w:t>
            </w:r>
            <w:r w:rsidR="00085291"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dentification number for a ring fenced fund or matching </w:t>
            </w:r>
            <w:r w:rsidR="00C9258E"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adjustment </w:t>
            </w:r>
            <w:r w:rsidR="00085291"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portfolio. This number is attributed by the undertaking </w:t>
            </w:r>
            <w:r w:rsidR="00BE1410"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within the group </w:t>
            </w:r>
            <w:r w:rsidR="00085291"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and must be consistent over time and with the fund/portfolio number reported in other templates. </w:t>
            </w:r>
          </w:p>
          <w:p w14:paraId="06DD4618" w14:textId="77777777" w:rsidR="00085291" w:rsidRPr="000C4AB2" w:rsidRDefault="00085291" w:rsidP="001C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A0B4FC8" w14:textId="0426B09C" w:rsidR="00085291" w:rsidRPr="000C4AB2" w:rsidRDefault="00A94C33" w:rsidP="004C5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W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hen item Z0020 =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2, then report “0”</w:t>
            </w:r>
          </w:p>
        </w:tc>
      </w:tr>
      <w:tr w:rsidR="00DB4927" w:rsidRPr="000C4AB2" w14:paraId="027123B5" w14:textId="77777777" w:rsidTr="00DB4927">
        <w:trPr>
          <w:trHeight w:val="346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AF374" w14:textId="5A6BC95D" w:rsidR="00085291" w:rsidRPr="000C4AB2" w:rsidRDefault="00085291" w:rsidP="00DB4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R0010/C0010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AA779" w14:textId="569AEB25" w:rsidR="00085291" w:rsidRPr="000C4AB2" w:rsidRDefault="00085291" w:rsidP="00E77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Simplifications </w:t>
            </w:r>
          </w:p>
        </w:tc>
        <w:tc>
          <w:tcPr>
            <w:tcW w:w="4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6C117" w14:textId="103BDA50" w:rsidR="00085291" w:rsidRPr="000C4AB2" w:rsidRDefault="00085291" w:rsidP="0008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Identify whether an undertakings </w:t>
            </w:r>
            <w:r w:rsidR="00BE1410"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within the group </w:t>
            </w: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used </w:t>
            </w:r>
            <w:r w:rsidR="00BE1410"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simplifications for</w:t>
            </w: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the calculation of counter party default risk. One of the options in the following closed list shall be used:</w:t>
            </w:r>
          </w:p>
          <w:p w14:paraId="2B15CD48" w14:textId="6332E9CE" w:rsidR="00085291" w:rsidRPr="000C4AB2" w:rsidRDefault="00085291" w:rsidP="0008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1 – Simplifications used </w:t>
            </w:r>
          </w:p>
          <w:p w14:paraId="1BF789E0" w14:textId="7418E4A6" w:rsidR="00085291" w:rsidRPr="000C4AB2" w:rsidRDefault="00085291" w:rsidP="00DB4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lastRenderedPageBreak/>
              <w:t>2 – Simplifications not used</w:t>
            </w:r>
          </w:p>
        </w:tc>
      </w:tr>
      <w:tr w:rsidR="00DB4927" w:rsidRPr="000C4AB2" w14:paraId="73CE8A49" w14:textId="77777777" w:rsidTr="00DB4927">
        <w:trPr>
          <w:trHeight w:val="660"/>
        </w:trPr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42DFA2" w14:textId="6062337B" w:rsidR="00085291" w:rsidRPr="000C4AB2" w:rsidRDefault="000C18F7" w:rsidP="00DB4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lastRenderedPageBreak/>
              <w:t>R0100/C0080</w:t>
            </w:r>
          </w:p>
        </w:tc>
        <w:tc>
          <w:tcPr>
            <w:tcW w:w="2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8A2CFC" w14:textId="006A16B5" w:rsidR="000C18F7" w:rsidRPr="000C4AB2" w:rsidRDefault="00532257" w:rsidP="00E77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Type 1 exposures – </w:t>
            </w:r>
            <w:r w:rsidR="000C18F7"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Gross solvency capital requirement 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EC7EF1" w14:textId="5DA9123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(before the loss-absorbency capacity of technical provisions) for counterparty default risk arising from all Type 1 exposures as defined for Solvency II purposes.</w:t>
            </w:r>
          </w:p>
        </w:tc>
      </w:tr>
      <w:tr w:rsidR="00DB4927" w:rsidRPr="000C4AB2" w14:paraId="2E180FA3" w14:textId="77777777" w:rsidTr="00DB4927">
        <w:trPr>
          <w:trHeight w:val="566"/>
        </w:trPr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768BD6" w14:textId="5F0E4C63" w:rsidR="00E77A43" w:rsidRPr="000C4AB2" w:rsidDel="00085291" w:rsidRDefault="00E77A43" w:rsidP="00DB4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R0110-R0200/C0020</w:t>
            </w:r>
          </w:p>
        </w:tc>
        <w:tc>
          <w:tcPr>
            <w:tcW w:w="2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DF3B73" w14:textId="1506E560" w:rsidR="00E77A43" w:rsidRPr="000C4AB2" w:rsidRDefault="00E77A43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Name of single name exposure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F89925" w14:textId="60BF2A17" w:rsidR="00E77A43" w:rsidRPr="000C4AB2" w:rsidRDefault="00E77A43" w:rsidP="00E77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Describe the name of the 10 largest single exposures.</w:t>
            </w:r>
          </w:p>
        </w:tc>
      </w:tr>
      <w:tr w:rsidR="00DB4927" w:rsidRPr="000C4AB2" w14:paraId="6494E50D" w14:textId="77777777" w:rsidTr="00DB4927">
        <w:trPr>
          <w:trHeight w:val="1134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FFFAF5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R0110-R0200/</w:t>
            </w:r>
          </w:p>
          <w:p w14:paraId="1D4B6445" w14:textId="6F4DC9F6" w:rsidR="000C18F7" w:rsidRPr="000C4AB2" w:rsidRDefault="000C18F7" w:rsidP="00DB4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C0030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267AE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Code of single name exposure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90DDAC" w14:textId="22EB4C07" w:rsidR="000C18F7" w:rsidRPr="000C4AB2" w:rsidRDefault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Identification code</w:t>
            </w:r>
            <w:r w:rsidR="004506FE"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using the </w:t>
            </w: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Legal Entity Identifier (LEI) if available</w:t>
            </w:r>
            <w:r w:rsidR="004506FE"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</w: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  <w:t xml:space="preserve">If </w:t>
            </w:r>
            <w:r w:rsidR="00085291"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not</w:t>
            </w: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available this item should not be reported</w:t>
            </w:r>
          </w:p>
        </w:tc>
      </w:tr>
      <w:tr w:rsidR="00DB4927" w:rsidRPr="000C4AB2" w14:paraId="7071788B" w14:textId="77777777" w:rsidTr="00DB4927">
        <w:trPr>
          <w:trHeight w:val="96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417246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R0110-R0200/</w:t>
            </w:r>
          </w:p>
          <w:p w14:paraId="1AC9C6AB" w14:textId="2907FCD2" w:rsidR="000C18F7" w:rsidRPr="000C4AB2" w:rsidRDefault="000C18F7" w:rsidP="00DB4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C0040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D73C6D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of code of the single name exposure</w:t>
            </w:r>
          </w:p>
        </w:tc>
        <w:tc>
          <w:tcPr>
            <w:tcW w:w="4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1D9197" w14:textId="5B22C7C5" w:rsidR="00085291" w:rsidRPr="000C4AB2" w:rsidRDefault="000C18F7" w:rsidP="0008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 xml:space="preserve">Identification of the code used in </w:t>
            </w:r>
            <w:r w:rsidR="00085291" w:rsidRPr="000C4A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item “</w:t>
            </w:r>
            <w:r w:rsidR="00085291"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Code of single name exposure</w:t>
            </w:r>
            <w:r w:rsidR="00085291" w:rsidRPr="000C4A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 xml:space="preserve">”. </w:t>
            </w:r>
            <w:r w:rsidR="00085291"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One of the options in the following closed list shall be used:</w:t>
            </w:r>
          </w:p>
          <w:p w14:paraId="6136052D" w14:textId="3A7D29CA" w:rsidR="000C18F7" w:rsidRPr="000C4AB2" w:rsidRDefault="00085291" w:rsidP="00E77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 xml:space="preserve">1 </w:t>
            </w:r>
            <w:r w:rsidR="000C18F7" w:rsidRPr="000C4A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 xml:space="preserve">- LEI </w:t>
            </w:r>
            <w:r w:rsidR="000C18F7" w:rsidRPr="000C4A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br/>
            </w:r>
            <w:r w:rsidRPr="000C4A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 xml:space="preserve">9 </w:t>
            </w:r>
            <w:r w:rsidR="000C18F7" w:rsidRPr="000C4A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 xml:space="preserve">- </w:t>
            </w:r>
            <w:r w:rsidRPr="000C4A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None</w:t>
            </w:r>
          </w:p>
        </w:tc>
      </w:tr>
      <w:tr w:rsidR="00DB4927" w:rsidRPr="000C4AB2" w14:paraId="488C04F7" w14:textId="77777777" w:rsidTr="00DB4927">
        <w:trPr>
          <w:trHeight w:val="285"/>
        </w:trPr>
        <w:tc>
          <w:tcPr>
            <w:tcW w:w="15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B5F3A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R0110-R0200/</w:t>
            </w:r>
          </w:p>
          <w:p w14:paraId="3940E2FA" w14:textId="4A4F2E08" w:rsidR="000C18F7" w:rsidRPr="000C4AB2" w:rsidRDefault="000C18F7" w:rsidP="00DB4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C0050</w:t>
            </w:r>
          </w:p>
        </w:tc>
        <w:tc>
          <w:tcPr>
            <w:tcW w:w="23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05F6C" w14:textId="56E6E97B" w:rsidR="000C18F7" w:rsidRPr="000C4AB2" w:rsidRDefault="000C18F7" w:rsidP="00E77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1 exposures –  Single name exposure X – Loss Given Default</w:t>
            </w:r>
          </w:p>
        </w:tc>
        <w:tc>
          <w:tcPr>
            <w:tcW w:w="4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B697A77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value of the Loss Given Default for each of the 10 largest single name </w:t>
            </w:r>
            <w:proofErr w:type="gramStart"/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exposure</w:t>
            </w:r>
            <w:proofErr w:type="gramEnd"/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DB4927" w:rsidRPr="000C4AB2" w14:paraId="66477BC8" w14:textId="77777777" w:rsidTr="00DB4927">
        <w:trPr>
          <w:trHeight w:val="490"/>
        </w:trPr>
        <w:tc>
          <w:tcPr>
            <w:tcW w:w="15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75A90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A1031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4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5C0562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DB4927" w:rsidRPr="000C4AB2" w14:paraId="1E0DB217" w14:textId="77777777" w:rsidTr="00DB4927">
        <w:trPr>
          <w:trHeight w:val="285"/>
        </w:trPr>
        <w:tc>
          <w:tcPr>
            <w:tcW w:w="15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50DF1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R0110-R0200/</w:t>
            </w:r>
          </w:p>
          <w:p w14:paraId="2704B20A" w14:textId="2769E096" w:rsidR="000C18F7" w:rsidRPr="000C4AB2" w:rsidRDefault="000C18F7" w:rsidP="00DB4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C0060</w:t>
            </w:r>
          </w:p>
        </w:tc>
        <w:tc>
          <w:tcPr>
            <w:tcW w:w="23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EFB27" w14:textId="0FED132B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1 exposures – Single name exposure X – Probability of Default</w:t>
            </w:r>
          </w:p>
        </w:tc>
        <w:tc>
          <w:tcPr>
            <w:tcW w:w="4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765F8FB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Probability of Default for each of the 10 largest single name </w:t>
            </w:r>
            <w:proofErr w:type="gramStart"/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exposure</w:t>
            </w:r>
            <w:proofErr w:type="gramEnd"/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DB4927" w:rsidRPr="000C4AB2" w14:paraId="3307857D" w14:textId="77777777" w:rsidTr="00DB4927">
        <w:trPr>
          <w:trHeight w:val="615"/>
        </w:trPr>
        <w:tc>
          <w:tcPr>
            <w:tcW w:w="15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5EE68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7BB49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4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E8BF81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DB4927" w:rsidRPr="000C4AB2" w14:paraId="0D388D95" w14:textId="77777777" w:rsidTr="00DB4927">
        <w:trPr>
          <w:trHeight w:val="230"/>
        </w:trPr>
        <w:tc>
          <w:tcPr>
            <w:tcW w:w="15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8ED25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6B05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4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ECA311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DB4927" w:rsidRPr="000C4AB2" w14:paraId="3006CA08" w14:textId="77777777" w:rsidTr="00DB4927">
        <w:trPr>
          <w:trHeight w:val="1156"/>
        </w:trPr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6E2E9" w14:textId="7472C091" w:rsidR="000C18F7" w:rsidRPr="000C4AB2" w:rsidRDefault="000C18F7" w:rsidP="00DB4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R0300/C0080</w:t>
            </w:r>
          </w:p>
        </w:tc>
        <w:tc>
          <w:tcPr>
            <w:tcW w:w="2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BCCF3" w14:textId="3DBF0FA1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Type 2 exposures – Gross solvency capital requirement 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27672" w14:textId="199C5FBE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(before the loss-absorbency capacity of  technical provisions) for counterparty default risk arising from all Type 2 exposures, as defined for Solvency II purposes</w:t>
            </w:r>
          </w:p>
        </w:tc>
      </w:tr>
      <w:tr w:rsidR="00DB4927" w:rsidRPr="000C4AB2" w14:paraId="13D106D8" w14:textId="77777777" w:rsidTr="00DB4927">
        <w:trPr>
          <w:trHeight w:val="1272"/>
        </w:trPr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B8D27" w14:textId="68175602" w:rsidR="000C18F7" w:rsidRPr="000C4AB2" w:rsidRDefault="000C18F7" w:rsidP="00DB4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R0310/C0050</w:t>
            </w:r>
          </w:p>
        </w:tc>
        <w:tc>
          <w:tcPr>
            <w:tcW w:w="2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2DAF9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2 exposures - Receivables from Intermediaries due for more than 3 months – Loss Given Default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75913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value of Loss Given Default for Type 2 counterparty risk arising from intermediaries due for more than 3 months.</w:t>
            </w:r>
          </w:p>
        </w:tc>
      </w:tr>
      <w:tr w:rsidR="00DB4927" w:rsidRPr="000C4AB2" w14:paraId="1A4427F3" w14:textId="77777777" w:rsidTr="00DB4927">
        <w:trPr>
          <w:trHeight w:val="1545"/>
        </w:trPr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50FE1" w14:textId="336CF1CF" w:rsidR="000C18F7" w:rsidRPr="000C4AB2" w:rsidRDefault="000C18F7" w:rsidP="00DB4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R0320/C0050</w:t>
            </w:r>
          </w:p>
        </w:tc>
        <w:tc>
          <w:tcPr>
            <w:tcW w:w="2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EFA63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2 exposures -  All type 2 exposures other than receivables from Intermediaries due for more than 3 months –  Loss Given Default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88506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value of Loss Given Default for Type 2 counterparty risk arising from all type 2 exposures other than receivables from Intermediaries due for more than 3 months. </w:t>
            </w:r>
          </w:p>
        </w:tc>
      </w:tr>
      <w:tr w:rsidR="00DB4927" w:rsidRPr="000C4AB2" w14:paraId="05FD5EDC" w14:textId="77777777" w:rsidTr="00DB4927">
        <w:trPr>
          <w:trHeight w:val="970"/>
        </w:trPr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456BF" w14:textId="4CAD7BC3" w:rsidR="000C18F7" w:rsidRPr="000C4AB2" w:rsidRDefault="000C18F7" w:rsidP="00DB4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R0330/C0080</w:t>
            </w:r>
          </w:p>
        </w:tc>
        <w:tc>
          <w:tcPr>
            <w:tcW w:w="2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0A5B0" w14:textId="7F614A98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Diversification within counterparty default risk module – gross solvency capital requirement 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2D04A" w14:textId="3671D8D5" w:rsidR="000C18F7" w:rsidRPr="000C4AB2" w:rsidRDefault="000C18F7" w:rsidP="00DB4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amount of gross diversification effects allowed in aggregation of capital requirements for counterparty default risk for Type 1 and Type 2 exposures. </w:t>
            </w:r>
          </w:p>
        </w:tc>
      </w:tr>
      <w:tr w:rsidR="00DB4927" w:rsidRPr="000C4AB2" w14:paraId="35A7845E" w14:textId="77777777" w:rsidTr="00DB4927">
        <w:trPr>
          <w:trHeight w:val="847"/>
        </w:trPr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EAB8F" w14:textId="41BE41F7" w:rsidR="000C18F7" w:rsidRPr="000C4AB2" w:rsidRDefault="000C18F7" w:rsidP="00DB4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R0400/C0070</w:t>
            </w:r>
          </w:p>
        </w:tc>
        <w:tc>
          <w:tcPr>
            <w:tcW w:w="2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891F3" w14:textId="3EBD36F5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Total net solvency capital requirement for counterparty default risk</w:t>
            </w:r>
            <w:r w:rsidRPr="000C4AB2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C3DAA4" w14:textId="78E700D7" w:rsidR="000C18F7" w:rsidRPr="000C4AB2" w:rsidRDefault="000C18F7" w:rsidP="00F30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total amount of the net capital charge (after the loss-absorbency capacity of technical provisions) for counterparty default risk. </w:t>
            </w:r>
          </w:p>
        </w:tc>
      </w:tr>
      <w:tr w:rsidR="00DB4927" w:rsidRPr="000C4AB2" w14:paraId="210C91F0" w14:textId="77777777" w:rsidTr="00DB4927">
        <w:trPr>
          <w:trHeight w:val="56"/>
        </w:trPr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992D77E" w14:textId="11FE737D" w:rsidR="000C18F7" w:rsidRPr="000C4AB2" w:rsidRDefault="000C18F7" w:rsidP="00DB4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R0400/C0080</w:t>
            </w:r>
          </w:p>
        </w:tc>
        <w:tc>
          <w:tcPr>
            <w:tcW w:w="23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161CDD9" w14:textId="4BBCE7D3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Total gross solvency capital requirement for counterparty default risk</w:t>
            </w:r>
          </w:p>
        </w:tc>
        <w:tc>
          <w:tcPr>
            <w:tcW w:w="4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022C5D7" w14:textId="69A1495D" w:rsidR="000C18F7" w:rsidRPr="000C4AB2" w:rsidRDefault="000C18F7" w:rsidP="00DB4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total amount of the gross capital charge (before the loss-absorbency capacity of technical provisions) for counterparty default risk. </w:t>
            </w:r>
          </w:p>
        </w:tc>
      </w:tr>
      <w:tr w:rsidR="00A94C33" w:rsidRPr="001C3CB5" w14:paraId="421BF946" w14:textId="77777777" w:rsidTr="00DB4927">
        <w:trPr>
          <w:trHeight w:val="411"/>
        </w:trPr>
        <w:tc>
          <w:tcPr>
            <w:tcW w:w="8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0514F" w14:textId="77777777" w:rsidR="00A94C33" w:rsidRPr="001C3CB5" w:rsidRDefault="00A94C33" w:rsidP="00DB492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  <w:t xml:space="preserve">Further details on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  <w:t>mortgages</w:t>
            </w:r>
          </w:p>
        </w:tc>
      </w:tr>
      <w:tr w:rsidR="00DB4927" w:rsidRPr="001C3CB5" w14:paraId="4753C3C5" w14:textId="77777777" w:rsidTr="00DB4927">
        <w:trPr>
          <w:trHeight w:val="346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6C766" w14:textId="77777777" w:rsidR="00A94C33" w:rsidRPr="001C3CB5" w:rsidDel="00892CC1" w:rsidRDefault="00A94C33" w:rsidP="00676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5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00/C0090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C6D25" w14:textId="77777777" w:rsidR="00A94C33" w:rsidRPr="001C3CB5" w:rsidRDefault="00A94C33" w:rsidP="00676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Losses steaming from type 2 mortgage loans</w:t>
            </w:r>
          </w:p>
        </w:tc>
        <w:tc>
          <w:tcPr>
            <w:tcW w:w="4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3FD28" w14:textId="6D10FEAD" w:rsidR="00A94C33" w:rsidRPr="00BD2E1B" w:rsidRDefault="00A94C33" w:rsidP="00676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D2E1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Amount of the overall losses steaming from mortgage loans that has been classified as type 2 exposures according to article 191 </w:t>
            </w:r>
            <w:r w:rsidRPr="0067641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(13) </w:t>
            </w:r>
            <w:r w:rsidRPr="00BD2E1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of Delegated Regulation </w:t>
            </w:r>
            <w:r w:rsidR="00DB49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lastRenderedPageBreak/>
              <w:t xml:space="preserve">(EU) </w:t>
            </w:r>
            <w:r w:rsidRPr="00BD2E1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2015/35.</w:t>
            </w:r>
          </w:p>
        </w:tc>
      </w:tr>
      <w:tr w:rsidR="00DB4927" w:rsidRPr="001C3CB5" w14:paraId="260031F0" w14:textId="77777777" w:rsidTr="00DB4927">
        <w:trPr>
          <w:trHeight w:val="561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A270B" w14:textId="77777777" w:rsidR="00A94C33" w:rsidRPr="001C3CB5" w:rsidDel="00892CC1" w:rsidRDefault="00A94C33" w:rsidP="00676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lastRenderedPageBreak/>
              <w:t>R05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10/C0090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8BFF8" w14:textId="77777777" w:rsidR="00A94C33" w:rsidRPr="001C3CB5" w:rsidRDefault="00A94C33" w:rsidP="00676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Overall losses steaming from mortgage loans</w:t>
            </w:r>
          </w:p>
        </w:tc>
        <w:tc>
          <w:tcPr>
            <w:tcW w:w="4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94104" w14:textId="6B887582" w:rsidR="00A94C33" w:rsidRPr="00BD2E1B" w:rsidRDefault="00A94C33" w:rsidP="00676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D2E1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Amount of the overall losses steaming from mortgage loans</w:t>
            </w:r>
            <w:r w:rsidRPr="0067641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according to article 191 (13) of Delegated Regulation </w:t>
            </w:r>
            <w:r w:rsidR="00DB49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(EU) </w:t>
            </w:r>
            <w:r w:rsidRPr="0067641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2015/35.</w:t>
            </w:r>
          </w:p>
        </w:tc>
      </w:tr>
    </w:tbl>
    <w:p w14:paraId="1A140711" w14:textId="77777777" w:rsidR="00641969" w:rsidRPr="000C4AB2" w:rsidRDefault="00641969">
      <w:pPr>
        <w:rPr>
          <w:rFonts w:ascii="Times New Roman" w:hAnsi="Times New Roman" w:cs="Times New Roman"/>
          <w:sz w:val="20"/>
          <w:szCs w:val="20"/>
          <w:lang w:val="en-GB"/>
        </w:rPr>
      </w:pPr>
    </w:p>
    <w:sectPr w:rsidR="00641969" w:rsidRPr="000C4A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432C53C" w15:done="0"/>
  <w15:commentEx w15:paraId="7AC5438B" w15:done="0"/>
  <w15:commentEx w15:paraId="7CBD26E6" w15:paraIdParent="7AC5438B" w15:done="0"/>
  <w15:commentEx w15:paraId="7F8A4C0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B9A57E" w14:textId="77777777" w:rsidR="00A706C5" w:rsidRDefault="00A706C5" w:rsidP="0041765A">
      <w:pPr>
        <w:spacing w:after="0" w:line="240" w:lineRule="auto"/>
      </w:pPr>
      <w:r>
        <w:separator/>
      </w:r>
    </w:p>
  </w:endnote>
  <w:endnote w:type="continuationSeparator" w:id="0">
    <w:p w14:paraId="378FE047" w14:textId="77777777" w:rsidR="00A706C5" w:rsidRDefault="00A706C5" w:rsidP="00417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849E9C" w14:textId="77777777" w:rsidR="00A706C5" w:rsidRDefault="00A706C5" w:rsidP="0041765A">
      <w:pPr>
        <w:spacing w:after="0" w:line="240" w:lineRule="auto"/>
      </w:pPr>
      <w:r>
        <w:separator/>
      </w:r>
    </w:p>
  </w:footnote>
  <w:footnote w:type="continuationSeparator" w:id="0">
    <w:p w14:paraId="492F4AC8" w14:textId="77777777" w:rsidR="00A706C5" w:rsidRDefault="00A706C5" w:rsidP="004176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C3412"/>
    <w:multiLevelType w:val="hybridMultilevel"/>
    <w:tmpl w:val="2CC6F44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A35C1"/>
    <w:multiLevelType w:val="hybridMultilevel"/>
    <w:tmpl w:val="DFB484AE"/>
    <w:lvl w:ilvl="0" w:tplc="294247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18"/>
        <w:szCs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guel Caballero Perez">
    <w15:presenceInfo w15:providerId="AD" w15:userId="S-1-5-21-1777303039-597252131-130898220-106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8A40DA"/>
    <w:rsid w:val="00004015"/>
    <w:rsid w:val="00053113"/>
    <w:rsid w:val="00085291"/>
    <w:rsid w:val="000C18F7"/>
    <w:rsid w:val="000C4AB2"/>
    <w:rsid w:val="002426E3"/>
    <w:rsid w:val="0024367E"/>
    <w:rsid w:val="0039634C"/>
    <w:rsid w:val="003F0618"/>
    <w:rsid w:val="0040427E"/>
    <w:rsid w:val="0041765A"/>
    <w:rsid w:val="00417D5F"/>
    <w:rsid w:val="004506FE"/>
    <w:rsid w:val="004C5C96"/>
    <w:rsid w:val="004D0B26"/>
    <w:rsid w:val="00532257"/>
    <w:rsid w:val="00541E52"/>
    <w:rsid w:val="005C0AC8"/>
    <w:rsid w:val="005F7407"/>
    <w:rsid w:val="00641969"/>
    <w:rsid w:val="007060B1"/>
    <w:rsid w:val="007432B3"/>
    <w:rsid w:val="007A2D7E"/>
    <w:rsid w:val="007B5B5E"/>
    <w:rsid w:val="007C1F3E"/>
    <w:rsid w:val="008A2A3D"/>
    <w:rsid w:val="008A40DA"/>
    <w:rsid w:val="008C3D3D"/>
    <w:rsid w:val="008F6A7C"/>
    <w:rsid w:val="00940628"/>
    <w:rsid w:val="0098766C"/>
    <w:rsid w:val="00991EED"/>
    <w:rsid w:val="009B1A81"/>
    <w:rsid w:val="009E6C7E"/>
    <w:rsid w:val="009F4C8D"/>
    <w:rsid w:val="00A45CFE"/>
    <w:rsid w:val="00A649D9"/>
    <w:rsid w:val="00A706C5"/>
    <w:rsid w:val="00A94C33"/>
    <w:rsid w:val="00AD7051"/>
    <w:rsid w:val="00B70AF9"/>
    <w:rsid w:val="00BC0BB4"/>
    <w:rsid w:val="00BD0905"/>
    <w:rsid w:val="00BE1410"/>
    <w:rsid w:val="00C9258E"/>
    <w:rsid w:val="00CE28BD"/>
    <w:rsid w:val="00D706EE"/>
    <w:rsid w:val="00D92160"/>
    <w:rsid w:val="00DB4927"/>
    <w:rsid w:val="00DC5350"/>
    <w:rsid w:val="00DF5B11"/>
    <w:rsid w:val="00E77A43"/>
    <w:rsid w:val="00EB0DFE"/>
    <w:rsid w:val="00EB4CB1"/>
    <w:rsid w:val="00F3062A"/>
    <w:rsid w:val="00F543BD"/>
    <w:rsid w:val="00FE1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A6B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76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65A"/>
  </w:style>
  <w:style w:type="paragraph" w:styleId="Footer">
    <w:name w:val="footer"/>
    <w:basedOn w:val="Normal"/>
    <w:link w:val="FooterChar"/>
    <w:uiPriority w:val="99"/>
    <w:unhideWhenUsed/>
    <w:rsid w:val="004176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65A"/>
  </w:style>
  <w:style w:type="paragraph" w:styleId="BalloonText">
    <w:name w:val="Balloon Text"/>
    <w:basedOn w:val="Normal"/>
    <w:link w:val="BalloonTextChar"/>
    <w:uiPriority w:val="99"/>
    <w:semiHidden/>
    <w:unhideWhenUsed/>
    <w:rsid w:val="00404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27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406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6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6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6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62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3062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E1410"/>
    <w:pPr>
      <w:spacing w:line="25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76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65A"/>
  </w:style>
  <w:style w:type="paragraph" w:styleId="Footer">
    <w:name w:val="footer"/>
    <w:basedOn w:val="Normal"/>
    <w:link w:val="FooterChar"/>
    <w:uiPriority w:val="99"/>
    <w:unhideWhenUsed/>
    <w:rsid w:val="004176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65A"/>
  </w:style>
  <w:style w:type="paragraph" w:styleId="BalloonText">
    <w:name w:val="Balloon Text"/>
    <w:basedOn w:val="Normal"/>
    <w:link w:val="BalloonTextChar"/>
    <w:uiPriority w:val="99"/>
    <w:semiHidden/>
    <w:unhideWhenUsed/>
    <w:rsid w:val="00404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27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406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6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6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6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62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3062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E1410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4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907</Words>
  <Characters>5176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DGSFP</Company>
  <LinksUpToDate>false</LinksUpToDate>
  <CharactersWithSpaces>6071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Caballero Perez</dc:creator>
  <cp:lastModifiedBy>ATM</cp:lastModifiedBy>
  <cp:revision>4</cp:revision>
  <dcterms:created xsi:type="dcterms:W3CDTF">2015-07-01T12:33:00Z</dcterms:created>
  <dcterms:modified xsi:type="dcterms:W3CDTF">2015-07-01T14:11:00Z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-1952923247</vt:i4>
  </property>
  <property fmtid="{D5CDD505-2E9C-101B-9397-08002B2CF9AE}" pid="4" name="_EmailSubject">
    <vt:lpwstr>S.26 review </vt:lpwstr>
  </property>
  <property fmtid="{D5CDD505-2E9C-101B-9397-08002B2CF9AE}" pid="5" name="_AuthorEmail">
    <vt:lpwstr>Elzbieta.Woynowska@bankofengland.gsi.gov.uk</vt:lpwstr>
  </property>
  <property fmtid="{D5CDD505-2E9C-101B-9397-08002B2CF9AE}" pid="6" name="_AuthorEmailDisplayName">
    <vt:lpwstr>Woynowska, Elzbieta</vt:lpwstr>
  </property>
  <property fmtid="{D5CDD505-2E9C-101B-9397-08002B2CF9AE}" pid="7" name="_ReviewingToolsShownOnce">
    <vt:lpwstr/>
  </property>
</Properties>
</file>